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99"/>
        <w:gridCol w:w="8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31" w:type="dxa"/>
            <w:gridSpan w:val="2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  <w:t>格乐大学国际学院交换学生专业及部分课程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共同课程</w:t>
            </w: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泰语沟通Thai for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信息科技学习Information Science for Learning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国际学生法律观Law for International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可持续发展与环境创新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艺术系课程</w:t>
            </w: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艺术设计绘画Art and Digital Painting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艺术管理 Arts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媒介设计与产品Design and Production of Media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数字媒体设计 Special Topics in Digital Media and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音乐舞蹈艺术Art for Music and Dance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音乐教育审美Music Education and Aesthetics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教育管理系课程</w:t>
            </w: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教育科技创新Educational Innovation and Information Communication Technologies and Learning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教育心理 Psychology for Teachers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工商系课程</w:t>
            </w: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商业介绍 Introduction to Business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行销原则Principles of Marketing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商事法Introduction to Business 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公卫系课程</w:t>
            </w: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心理学General Psychology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大健康介绍Introduction to Public Big Health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8732" w:type="dxa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营养与食物卫生Nutrition and Food Sanitation</w:t>
            </w:r>
          </w:p>
        </w:tc>
      </w:tr>
    </w:tbl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OWFhZjI2ZTQ1YWVhM2FlNzQ3YmE1ZDU1NzZmNjUifQ=="/>
  </w:docVars>
  <w:rsids>
    <w:rsidRoot w:val="00000000"/>
    <w:rsid w:val="0DEC0D72"/>
    <w:rsid w:val="358E07DF"/>
    <w:rsid w:val="35BA15D4"/>
    <w:rsid w:val="550F5BB1"/>
    <w:rsid w:val="5E543CA3"/>
    <w:rsid w:val="6201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2023-12-22T06:01:56Z</dcterms:created>
  <dc:creator>lenovo</dc:creator>
  <cp:lastModifiedBy>吾桐桐</cp:lastModifiedBy>
  <dcterms:modified xsi:type="dcterms:W3CDTF">2023-12-22T07:57:29Z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0035F842FF08405CA251812E06CBE947_12</vt:lpwstr>
  </property>
</Properties>
</file>